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УСЛУГИ (</w:t>
      </w:r>
      <w:r w:rsid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ПРОЦЕССА) СЕТЕВОЙ ОРГАНИЗАЦИИ </w:t>
      </w:r>
    </w:p>
    <w:p w:rsidR="00680DA5" w:rsidRPr="00B37A54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522F6B"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«</w:t>
      </w:r>
      <w:proofErr w:type="spellStart"/>
      <w:r w:rsidR="00137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ТехЭнергоСад</w:t>
      </w:r>
      <w:proofErr w:type="spellEnd"/>
      <w:r w:rsidRPr="00B37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81978" w:rsidRDefault="00680DA5" w:rsidP="00781978">
      <w:pPr>
        <w:pStyle w:val="ConsPlusNormal"/>
        <w:ind w:firstLine="540"/>
        <w:jc w:val="both"/>
      </w:pPr>
      <w:r w:rsidRPr="00B37A54">
        <w:rPr>
          <w:rFonts w:eastAsia="Times New Roman"/>
          <w:b/>
          <w:bCs/>
        </w:rPr>
        <w:t>ТЕХНОЛОГИЧЕСКОЕ ПРИСОЕДИНЕНИЕ ЭНЕРГОПРИНИМАЮЩИХ УСТРОЙСТВ</w:t>
      </w:r>
      <w:r w:rsidR="00B37A54" w:rsidRPr="00B37A54">
        <w:rPr>
          <w:rFonts w:eastAsia="Times New Roman"/>
          <w:b/>
          <w:bCs/>
        </w:rPr>
        <w:t xml:space="preserve"> </w:t>
      </w:r>
      <w:r w:rsidRPr="00B37A54">
        <w:rPr>
          <w:rFonts w:eastAsia="Times New Roman"/>
          <w:b/>
          <w:bCs/>
        </w:rPr>
        <w:t xml:space="preserve">ЗАЯВИТЕЛЯ </w:t>
      </w:r>
      <w:r w:rsidR="00B37A54">
        <w:rPr>
          <w:rFonts w:eastAsia="Times New Roman"/>
          <w:b/>
          <w:bCs/>
        </w:rPr>
        <w:t>–</w:t>
      </w:r>
      <w:r w:rsidRPr="00B37A54">
        <w:rPr>
          <w:rFonts w:eastAsia="Times New Roman"/>
          <w:b/>
          <w:bCs/>
        </w:rPr>
        <w:t xml:space="preserve"> </w:t>
      </w:r>
      <w:r w:rsidR="00781978">
        <w:t xml:space="preserve">в целях временного технологического присоединения </w:t>
      </w:r>
      <w:proofErr w:type="spellStart"/>
      <w:r w:rsidR="00781978">
        <w:t>энергопринимающих</w:t>
      </w:r>
      <w:proofErr w:type="spellEnd"/>
      <w:r w:rsidR="00781978"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781978">
        <w:t>кВ</w:t>
      </w:r>
      <w:proofErr w:type="spellEnd"/>
      <w:r w:rsidR="00781978">
        <w:t xml:space="preserve">, осуществляемое на ограниченный период времени для обеспечения электроснабжения </w:t>
      </w:r>
      <w:proofErr w:type="spellStart"/>
      <w:r w:rsidR="00781978">
        <w:t>энергопринимающих</w:t>
      </w:r>
      <w:proofErr w:type="spellEnd"/>
      <w:r w:rsidR="00781978">
        <w:t xml:space="preserve"> </w:t>
      </w:r>
      <w:proofErr w:type="spellStart"/>
      <w:proofErr w:type="gramStart"/>
      <w:r w:rsidR="00781978">
        <w:t>устройств.</w:t>
      </w:r>
      <w:r w:rsidR="001375BB">
        <w:t>ООО</w:t>
      </w:r>
      <w:proofErr w:type="spellEnd"/>
      <w:proofErr w:type="gramEnd"/>
      <w:r w:rsidR="001375BB">
        <w:t xml:space="preserve"> «ТЭС»</w:t>
      </w:r>
    </w:p>
    <w:p w:rsidR="00A027DB" w:rsidRDefault="00A027DB" w:rsidP="00A027DB"/>
    <w:p w:rsidR="00756B11" w:rsidRPr="00B37A54" w:rsidRDefault="00756B11" w:rsidP="00B37A5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0DA5" w:rsidRPr="003F718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A5" w:rsidRDefault="00680DA5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37A54" w:rsidRPr="003F7185" w:rsidRDefault="00B37A54" w:rsidP="00B37A54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F10DEF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 заявителей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</w:p>
    <w:p w:rsidR="00514B8E" w:rsidRPr="00B37A54" w:rsidRDefault="00781978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юридический лицо или индивидуальный</w:t>
      </w:r>
      <w:r w:rsidRPr="007819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предп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риниматель</w:t>
      </w:r>
    </w:p>
    <w:p w:rsidR="00756B11" w:rsidRPr="00B37A54" w:rsidRDefault="00756B11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B8E" w:rsidRPr="00B37A54" w:rsidRDefault="00DC4057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предоставление услуги </w:t>
      </w:r>
      <w:r w:rsidR="00680DA5"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(процесса)</w:t>
      </w:r>
      <w:r w:rsidR="00680DA5"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определяется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уполномоченным органом исполнительной власти в области государственного регулирования тарифов для расчёта платы за технологическое присоединение</w:t>
      </w:r>
      <w:r w:rsidR="00522F6B" w:rsidRPr="00B37A54">
        <w:rPr>
          <w:rFonts w:ascii="Times New Roman" w:hAnsi="Times New Roman" w:cs="Times New Roman"/>
          <w:sz w:val="24"/>
          <w:szCs w:val="24"/>
        </w:rPr>
        <w:t xml:space="preserve"> 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Министерство энергетики и коммунального хозяйства Самарской области (Приказ №</w:t>
      </w:r>
      <w:r w:rsidR="00756B11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990 от 27.12.2018</w:t>
      </w:r>
      <w:r w:rsidR="00522F6B"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).</w:t>
      </w:r>
    </w:p>
    <w:p w:rsidR="00950594" w:rsidRDefault="00950594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14B8E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оказания услуги (процесса)</w:t>
      </w:r>
      <w:r w:rsidRPr="00B37A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80DA5" w:rsidRPr="00B37A54" w:rsidRDefault="00680DA5" w:rsidP="00B37A5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7A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согласно Постановлению Правительства РФ № 861 от 27.12.2004 г.</w:t>
      </w:r>
    </w:p>
    <w:p w:rsidR="00680DA5" w:rsidRPr="003F7185" w:rsidRDefault="00680DA5" w:rsidP="00680DA5">
      <w:pPr>
        <w:suppressAutoHyphens/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A2" w:rsidRPr="003F7185" w:rsidRDefault="00D863A2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F7185"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B37A54" w:rsidRDefault="00756B11" w:rsidP="00B37A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lastRenderedPageBreak/>
        <w:t>Условия оказания услуги(процесса)</w:t>
      </w:r>
      <w:r w:rsidR="00B37A54" w:rsidRPr="00B37A54">
        <w:rPr>
          <w:rFonts w:ascii="Times New Roman" w:hAnsi="Times New Roman" w:cs="Times New Roman"/>
          <w:b/>
          <w:sz w:val="28"/>
          <w:szCs w:val="28"/>
        </w:rPr>
        <w:t>.</w:t>
      </w:r>
      <w:r w:rsidRPr="003F7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978" w:rsidRDefault="00781978" w:rsidP="007819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осуществление временного технологического присоединения может быть подана в следующих случаях:</w:t>
      </w:r>
    </w:p>
    <w:p w:rsidR="00781978" w:rsidRDefault="00781978" w:rsidP="007819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наличие у заявителя, заключенного с ООО «</w:t>
      </w:r>
      <w:r w:rsidR="001375BB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 xml:space="preserve">» договора об осуществлении технологического присоединения по постоянной схеме электроснабжения и при необходимости временного электроснабжения по третьей категории надежности, на уровне напряжения ниже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которые являются передвижными и имеют максимальную мощность до 150 кВт включительно.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ООО «</w:t>
      </w:r>
      <w:r w:rsidR="001375BB" w:rsidRPr="001375BB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 xml:space="preserve">» до присоединяемых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1978">
        <w:rPr>
          <w:rFonts w:ascii="Times New Roman" w:hAnsi="Times New Roman" w:cs="Times New Roman"/>
          <w:sz w:val="24"/>
          <w:szCs w:val="24"/>
        </w:rPr>
        <w:t>При отсутствии технической возможности временного технологического присоединения и п</w:t>
      </w:r>
      <w:r>
        <w:rPr>
          <w:rFonts w:ascii="Times New Roman" w:hAnsi="Times New Roman" w:cs="Times New Roman"/>
          <w:sz w:val="24"/>
          <w:szCs w:val="24"/>
        </w:rPr>
        <w:t xml:space="preserve">о желанию заявителей – юридических лиц или индивидуальных предпринимателей,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до 150 кВт, ООО «</w:t>
      </w:r>
      <w:r w:rsidR="001375BB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 xml:space="preserve">» предоставляет им автономные источники питания до окончания срока электроснабжения по временной схеме. Расходы, связанные с предоставлением автономного резервного источника питания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 эксплуатацией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несет заявитель. Если по желанию данных заявителей 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будет осуществляться с использованием автономных источников питания, предоставленных не ООО «</w:t>
      </w:r>
      <w:r w:rsidR="001375BB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 xml:space="preserve">», то заявка на технологическое присоединение по временной схеме аннулируется. 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Электроснабжение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 временной схеме электроснабжения обеспечивается: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 наступления срока технологического присоединения с применением постоянной схемы электроснабжения, установленного договором;</w:t>
      </w:r>
    </w:p>
    <w:p w:rsidR="00781978" w:rsidRDefault="00781978" w:rsidP="007819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случаях, когда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являются передвижными и имеют максимальную мощность до 150 кВт включительно, - на срок до 12 месяцев.</w:t>
      </w:r>
    </w:p>
    <w:p w:rsidR="00B37A54" w:rsidRPr="003F7185" w:rsidRDefault="00B37A54" w:rsidP="00B37A54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7A54" w:rsidRPr="00B37A54" w:rsidRDefault="00B37A54" w:rsidP="00B37A54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37A54">
        <w:rPr>
          <w:rFonts w:ascii="Times New Roman" w:hAnsi="Times New Roman" w:cs="Times New Roman"/>
          <w:b/>
          <w:sz w:val="28"/>
          <w:szCs w:val="28"/>
        </w:rPr>
        <w:t>Общий срок оказания услуги (процесса):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технологического присоединения к электрическим сетям классом напряжения до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 - 15 рабочих дней (если в заявке не указан более продолжительный срок) с даты заключения договора;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случаях осуществления временного технологического присоединения заявителей,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которых являются передвижными, имеют максимальную мощность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 150 кВт включительно и расстояние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 - 15 рабочих дней (если в заявке не указан более продолжительный срок);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иных случаях: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год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менее 670 кВт, если более короткие сроки не предусмотрены инвестиционной программой, соответствующей ООО «</w:t>
      </w:r>
      <w:r w:rsidR="001375BB">
        <w:rPr>
          <w:rFonts w:ascii="Times New Roman" w:hAnsi="Times New Roman" w:cs="Times New Roman"/>
          <w:sz w:val="24"/>
          <w:szCs w:val="24"/>
        </w:rPr>
        <w:t>ТЭС</w:t>
      </w:r>
      <w:r>
        <w:rPr>
          <w:rFonts w:ascii="Times New Roman" w:hAnsi="Times New Roman" w:cs="Times New Roman"/>
          <w:sz w:val="24"/>
          <w:szCs w:val="24"/>
        </w:rPr>
        <w:t>» или соглашением сторон;</w:t>
      </w:r>
    </w:p>
    <w:p w:rsidR="006942E3" w:rsidRDefault="006942E3" w:rsidP="006942E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года - для заявителей, максимальная мощность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которых составляет не менее 670 кВт. По инициативе (обращению) заявителя договором могут быть установлены иные сроки (но не более 4 лет).</w:t>
      </w:r>
    </w:p>
    <w:p w:rsidR="00D863A2" w:rsidRPr="003F7185" w:rsidRDefault="00D863A2" w:rsidP="00B37A54">
      <w:pPr>
        <w:spacing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7193" w:rsidRPr="003F7185" w:rsidRDefault="00957193" w:rsidP="00680DA5">
      <w:pPr>
        <w:keepNext/>
        <w:keepLines/>
        <w:widowControl w:val="0"/>
        <w:suppressAutoHyphens/>
        <w:adjustRightInd w:val="0"/>
        <w:spacing w:before="60" w:after="60" w:line="240" w:lineRule="atLeast"/>
        <w:ind w:left="-1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957193" w:rsidRPr="003F7185" w:rsidSect="00957193">
          <w:pgSz w:w="11906" w:h="16838"/>
          <w:pgMar w:top="1134" w:right="282" w:bottom="1134" w:left="1276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F1E3A" w:rsidRPr="003F7185" w:rsidTr="00B37A54">
        <w:trPr>
          <w:cantSplit/>
        </w:trPr>
        <w:tc>
          <w:tcPr>
            <w:tcW w:w="57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</w:t>
            </w:r>
          </w:p>
        </w:tc>
        <w:tc>
          <w:tcPr>
            <w:tcW w:w="2517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Этап</w:t>
            </w:r>
          </w:p>
        </w:tc>
        <w:tc>
          <w:tcPr>
            <w:tcW w:w="2120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Условие этапа</w:t>
            </w:r>
          </w:p>
        </w:tc>
        <w:tc>
          <w:tcPr>
            <w:tcW w:w="238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</w:tc>
        <w:tc>
          <w:tcPr>
            <w:tcW w:w="348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предоставления</w:t>
            </w:r>
          </w:p>
        </w:tc>
        <w:tc>
          <w:tcPr>
            <w:tcW w:w="1973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Срок исполнения</w:t>
            </w:r>
          </w:p>
        </w:tc>
        <w:tc>
          <w:tcPr>
            <w:tcW w:w="1966" w:type="dxa"/>
            <w:vAlign w:val="center"/>
          </w:tcPr>
          <w:p w:rsidR="00957193" w:rsidRPr="00B37A54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37A54">
              <w:rPr>
                <w:rFonts w:ascii="Times New Roman" w:eastAsia="Times New Roman" w:hAnsi="Times New Roman" w:cs="Times New Roman"/>
                <w:b/>
                <w:lang w:eastAsia="ru-RU"/>
              </w:rPr>
              <w:t>Ссылка на нормативный правовой акт</w:t>
            </w:r>
          </w:p>
        </w:tc>
      </w:tr>
      <w:tr w:rsidR="009F1E3A" w:rsidRPr="00050B15" w:rsidTr="007A57AF">
        <w:trPr>
          <w:cantSplit/>
        </w:trPr>
        <w:tc>
          <w:tcPr>
            <w:tcW w:w="576" w:type="dxa"/>
            <w:vAlign w:val="center"/>
          </w:tcPr>
          <w:p w:rsidR="00957193" w:rsidRPr="00050B15" w:rsidRDefault="0095719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2517" w:type="dxa"/>
          </w:tcPr>
          <w:p w:rsidR="00957193" w:rsidRPr="007A57AF" w:rsidRDefault="002A3B4F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A57AF">
              <w:rPr>
                <w:rFonts w:ascii="Times New Roman" w:hAnsi="Times New Roman" w:cs="Times New Roman"/>
                <w:b/>
              </w:rPr>
              <w:t>П</w:t>
            </w:r>
            <w:r w:rsidR="0076113F" w:rsidRPr="007A57AF">
              <w:rPr>
                <w:rFonts w:ascii="Times New Roman" w:hAnsi="Times New Roman" w:cs="Times New Roman"/>
                <w:b/>
              </w:rPr>
              <w:t>одача заявки</w:t>
            </w:r>
            <w:r w:rsidRPr="007A57AF">
              <w:rPr>
                <w:rFonts w:ascii="Times New Roman" w:hAnsi="Times New Roman" w:cs="Times New Roman"/>
                <w:b/>
              </w:rPr>
              <w:t xml:space="preserve"> на технологическое присоединение</w:t>
            </w:r>
          </w:p>
        </w:tc>
        <w:tc>
          <w:tcPr>
            <w:tcW w:w="2120" w:type="dxa"/>
          </w:tcPr>
          <w:p w:rsidR="00957193" w:rsidRPr="00050B15" w:rsidRDefault="0095719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957193" w:rsidRPr="00050B15" w:rsidRDefault="00CC0C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</w:tc>
        <w:tc>
          <w:tcPr>
            <w:tcW w:w="3486" w:type="dxa"/>
          </w:tcPr>
          <w:p w:rsidR="00957193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в офис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Почтовое отправление.</w:t>
            </w:r>
          </w:p>
          <w:p w:rsidR="00CC0C94" w:rsidRPr="00050B15" w:rsidRDefault="00CC0C94" w:rsidP="00075EBE">
            <w:pPr>
              <w:pStyle w:val="a4"/>
              <w:numPr>
                <w:ilvl w:val="0"/>
                <w:numId w:val="1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Электронная форма заявки подается через личный кабинет клиента на сайте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973" w:type="dxa"/>
            <w:vAlign w:val="center"/>
          </w:tcPr>
          <w:p w:rsidR="00957193" w:rsidRPr="00050B15" w:rsidRDefault="00CC0C94" w:rsidP="007A57AF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966" w:type="dxa"/>
            <w:vAlign w:val="center"/>
          </w:tcPr>
          <w:p w:rsidR="00957193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2517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Рассмотрение заявки на технологическое присоединение.</w:t>
            </w:r>
          </w:p>
        </w:tc>
        <w:tc>
          <w:tcPr>
            <w:tcW w:w="212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2.1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сведений и документов, установленных Правилами ТП. 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заявки.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Уведомление направляется</w:t>
            </w:r>
            <w:r w:rsidRPr="00050B15">
              <w:rPr>
                <w:rFonts w:ascii="Times New Roman" w:eastAsia="Times New Roman" w:hAnsi="Times New Roman" w:cs="Times New Roman"/>
                <w:lang w:val="en-US" w:eastAsia="ru-RU"/>
              </w:rPr>
              <w:t>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2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3 рабочих дня со дня получения заявки на ТП.</w:t>
            </w:r>
          </w:p>
        </w:tc>
        <w:tc>
          <w:tcPr>
            <w:tcW w:w="1966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B37A54">
        <w:trPr>
          <w:cantSplit/>
        </w:trPr>
        <w:tc>
          <w:tcPr>
            <w:tcW w:w="576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</w:p>
        </w:tc>
        <w:tc>
          <w:tcPr>
            <w:tcW w:w="2517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ТП. </w:t>
            </w:r>
          </w:p>
        </w:tc>
        <w:tc>
          <w:tcPr>
            <w:tcW w:w="238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направляет проект договора в 2 экземплярах и технические условия как неотъемлемое приложение к договору.</w:t>
            </w:r>
          </w:p>
        </w:tc>
        <w:tc>
          <w:tcPr>
            <w:tcW w:w="348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Проект договора и технические условия направляются: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почтой РФ.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 на сайте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B37A54" w:rsidRPr="00050B15" w:rsidRDefault="00B37A54" w:rsidP="00075EBE">
            <w:pPr>
              <w:pStyle w:val="a4"/>
              <w:numPr>
                <w:ilvl w:val="0"/>
                <w:numId w:val="4"/>
              </w:numPr>
              <w:suppressAutoHyphens/>
              <w:spacing w:line="240" w:lineRule="atLeast"/>
              <w:ind w:left="371" w:hanging="371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письменной форме выдается заявителю в офисе.</w:t>
            </w:r>
          </w:p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15 дней со дня получения заявки на ТП.</w:t>
            </w:r>
          </w:p>
        </w:tc>
        <w:tc>
          <w:tcPr>
            <w:tcW w:w="1966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950594" w:rsidRDefault="00950594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5"/>
        <w:gridCol w:w="2500"/>
        <w:gridCol w:w="2216"/>
        <w:gridCol w:w="2366"/>
        <w:gridCol w:w="3453"/>
        <w:gridCol w:w="1956"/>
        <w:gridCol w:w="1955"/>
      </w:tblGrid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2.3.</w:t>
            </w: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Default="006942E3" w:rsidP="006942E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670 кВт </w:t>
            </w:r>
          </w:p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копии заявки на рассмотрение системному оператору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Письменная</w:t>
            </w:r>
          </w:p>
        </w:tc>
        <w:tc>
          <w:tcPr>
            <w:tcW w:w="1956" w:type="dxa"/>
          </w:tcPr>
          <w:p w:rsidR="006942E3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 календарных рабочих дней с даты получения заявки</w:t>
            </w:r>
          </w:p>
          <w:p w:rsidR="006942E3" w:rsidRPr="006942E3" w:rsidRDefault="006942E3" w:rsidP="006942E3">
            <w:pPr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500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Заключение договора</w:t>
            </w:r>
          </w:p>
        </w:tc>
        <w:tc>
          <w:tcPr>
            <w:tcW w:w="221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3.1.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согласия с представленным проектором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подписывает оба экземпляра проекта договора и направляет  в указанный срок 1 экземпляр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 w:val="restart"/>
            <w:vAlign w:val="center"/>
          </w:tcPr>
          <w:p w:rsidR="00B37A54" w:rsidRPr="00050B15" w:rsidRDefault="00B37A54" w:rsidP="00B37A54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3.2.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подписанного со стороны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В случае несогласия с представленным проектом договора.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Заявитель в праве направить сетевой организации мотивированны отказ от подписания проекта договора.</w:t>
            </w: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Письменная/электронная форма проекта договора, направляется способом, позволяющим подтвердить факт получения (в </w:t>
            </w:r>
            <w:proofErr w:type="spellStart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получения.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7A54" w:rsidRPr="00050B15" w:rsidTr="00C04DBA">
        <w:trPr>
          <w:cantSplit/>
        </w:trPr>
        <w:tc>
          <w:tcPr>
            <w:tcW w:w="575" w:type="dxa"/>
            <w:vAlign w:val="center"/>
          </w:tcPr>
          <w:p w:rsidR="00B37A54" w:rsidRPr="00050B15" w:rsidRDefault="00B37A5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3.3.</w:t>
            </w:r>
          </w:p>
        </w:tc>
        <w:tc>
          <w:tcPr>
            <w:tcW w:w="2500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Поступление в адрес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мотивированного отказа от подписания проекта договора с предложением об  изменении представленного проекта договора.</w:t>
            </w:r>
          </w:p>
        </w:tc>
        <w:tc>
          <w:tcPr>
            <w:tcW w:w="221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выдает заявителю новую редакцию проекта договора для подписания</w:t>
            </w:r>
          </w:p>
        </w:tc>
        <w:tc>
          <w:tcPr>
            <w:tcW w:w="236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53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форма проекта договора, направляется способом</w:t>
            </w:r>
            <w:r w:rsidRPr="00050B15">
              <w:rPr>
                <w:rFonts w:ascii="Times New Roman" w:hAnsi="Times New Roman" w:cs="Times New Roman"/>
              </w:rPr>
              <w:t xml:space="preserve">, позволяющим подтвердить факт получения (в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т.ч</w:t>
            </w:r>
            <w:proofErr w:type="spellEnd"/>
            <w:r w:rsidRPr="00050B15">
              <w:rPr>
                <w:rFonts w:ascii="Times New Roman" w:hAnsi="Times New Roman" w:cs="Times New Roman"/>
              </w:rPr>
              <w:t>. посредством Личного кабинета), или выдается заявителю в офисе обслуживания.</w:t>
            </w:r>
          </w:p>
        </w:tc>
        <w:tc>
          <w:tcPr>
            <w:tcW w:w="1956" w:type="dxa"/>
          </w:tcPr>
          <w:p w:rsidR="00B37A54" w:rsidRPr="00050B15" w:rsidRDefault="00B37A54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10 рабочих дней с даты получения</w:t>
            </w:r>
          </w:p>
        </w:tc>
        <w:tc>
          <w:tcPr>
            <w:tcW w:w="1955" w:type="dxa"/>
            <w:vMerge/>
          </w:tcPr>
          <w:p w:rsidR="00B37A54" w:rsidRPr="00050B15" w:rsidRDefault="00B37A5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4.1.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Оплата услуг по договору об осуществлении технологического присоединения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 w:val="restart"/>
            <w:vAlign w:val="center"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4.2.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4.3.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Выполнение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мероприятий, предусмотренных договором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F665E" w:rsidRPr="00050B15" w:rsidTr="00C04DBA">
        <w:trPr>
          <w:cantSplit/>
        </w:trPr>
        <w:tc>
          <w:tcPr>
            <w:tcW w:w="575" w:type="dxa"/>
            <w:vAlign w:val="center"/>
          </w:tcPr>
          <w:p w:rsidR="006F665E" w:rsidRPr="00050B15" w:rsidRDefault="006F665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4.4.</w:t>
            </w:r>
          </w:p>
        </w:tc>
        <w:tc>
          <w:tcPr>
            <w:tcW w:w="2500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Направление заявителем в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 выполнении технических условий с необходимым пакетом документов</w:t>
            </w:r>
          </w:p>
        </w:tc>
        <w:tc>
          <w:tcPr>
            <w:tcW w:w="3453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Письменная, электронная (посредством Личного кабинета), по телефону</w:t>
            </w:r>
          </w:p>
        </w:tc>
        <w:tc>
          <w:tcPr>
            <w:tcW w:w="1956" w:type="dxa"/>
          </w:tcPr>
          <w:p w:rsidR="006F665E" w:rsidRPr="00050B15" w:rsidRDefault="006F665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1955" w:type="dxa"/>
            <w:vMerge/>
          </w:tcPr>
          <w:p w:rsidR="006F665E" w:rsidRPr="00050B15" w:rsidRDefault="006F665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4.5.</w:t>
            </w:r>
          </w:p>
        </w:tc>
        <w:tc>
          <w:tcPr>
            <w:tcW w:w="2500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Согласование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технических условий с системным оператором (при мощности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энергопринимающих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 свыше 5 МВт)</w:t>
            </w:r>
          </w:p>
        </w:tc>
        <w:tc>
          <w:tcPr>
            <w:tcW w:w="236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в 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="00F822D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3453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tcW w:w="1956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В течение 2 дней со дня получения от заявителя уведомления</w:t>
            </w:r>
          </w:p>
        </w:tc>
        <w:tc>
          <w:tcPr>
            <w:tcW w:w="1955" w:type="dxa"/>
          </w:tcPr>
          <w:p w:rsidR="006942E3" w:rsidRPr="00050B15" w:rsidRDefault="006942E3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950594" w:rsidRPr="00050B15" w:rsidTr="00C04DBA">
        <w:trPr>
          <w:cantSplit/>
        </w:trPr>
        <w:tc>
          <w:tcPr>
            <w:tcW w:w="575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5.</w:t>
            </w:r>
          </w:p>
        </w:tc>
        <w:tc>
          <w:tcPr>
            <w:tcW w:w="2500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6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53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6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55" w:type="dxa"/>
          </w:tcPr>
          <w:p w:rsidR="00950594" w:rsidRPr="00050B15" w:rsidRDefault="00950594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5.1.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221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Получение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» от заявителя уведомления о выполнении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осмотра.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условий, при наличии замечаний – перечень замечаний.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В течение 10 дней со дня получения от заявителя документов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vMerge w:val="restart"/>
            <w:vAlign w:val="center"/>
          </w:tcPr>
          <w:p w:rsidR="00CB0F6E" w:rsidRPr="00050B15" w:rsidRDefault="00CB0F6E" w:rsidP="00680DA5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6942E3" w:rsidRPr="00050B15" w:rsidTr="00C04DBA">
        <w:trPr>
          <w:cantSplit/>
        </w:trPr>
        <w:tc>
          <w:tcPr>
            <w:tcW w:w="575" w:type="dxa"/>
            <w:vAlign w:val="center"/>
          </w:tcPr>
          <w:p w:rsidR="006942E3" w:rsidRPr="00050B15" w:rsidRDefault="006942E3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00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6942E3" w:rsidRPr="00050B15" w:rsidRDefault="006942E3" w:rsidP="006942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tcW w:w="236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3453" w:type="dxa"/>
          </w:tcPr>
          <w:p w:rsidR="006942E3" w:rsidRPr="00050B15" w:rsidRDefault="006942E3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Согласованный Акт о выполнении технических условий, перечень замечаний</w:t>
            </w:r>
          </w:p>
        </w:tc>
        <w:tc>
          <w:tcPr>
            <w:tcW w:w="1956" w:type="dxa"/>
          </w:tcPr>
          <w:p w:rsidR="006942E3" w:rsidRPr="00050B15" w:rsidRDefault="006942E3" w:rsidP="00075EBE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25 дней со дня получения от заявителя уведомления</w:t>
            </w:r>
          </w:p>
        </w:tc>
        <w:tc>
          <w:tcPr>
            <w:tcW w:w="1955" w:type="dxa"/>
            <w:vMerge/>
          </w:tcPr>
          <w:p w:rsidR="006942E3" w:rsidRPr="00050B15" w:rsidRDefault="006942E3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C04DBA">
        <w:trPr>
          <w:cantSplit/>
        </w:trPr>
        <w:tc>
          <w:tcPr>
            <w:tcW w:w="575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5.2.</w:t>
            </w:r>
          </w:p>
        </w:tc>
        <w:tc>
          <w:tcPr>
            <w:tcW w:w="2500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В случае невыполнения заявителем требований технических условий. Получение от заявителя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уведомления об устранении замечаний по выполнению технических условий</w:t>
            </w:r>
          </w:p>
        </w:tc>
        <w:tc>
          <w:tcPr>
            <w:tcW w:w="236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Повторный осмотр электроустановки заявителя</w:t>
            </w:r>
          </w:p>
        </w:tc>
        <w:tc>
          <w:tcPr>
            <w:tcW w:w="345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6" w:type="dxa"/>
          </w:tcPr>
          <w:p w:rsidR="00CB0F6E" w:rsidRPr="00050B15" w:rsidRDefault="00CB0F6E" w:rsidP="00075EB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1955" w:type="dxa"/>
            <w:vMerge/>
          </w:tcPr>
          <w:p w:rsidR="00CB0F6E" w:rsidRPr="00050B15" w:rsidRDefault="00CB0F6E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5.3.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случаях присоединения по третьей категории надежности (по одному источнику электроснабжения) к электрическим сетям классом напряжения до 20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включительно, при мощности от 150 до 670 кВт.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Письменное уведомление способом, позволяющим установить дату отправки и получения уведомления</w:t>
            </w:r>
          </w:p>
          <w:p w:rsidR="00C04DBA" w:rsidRDefault="00C04DBA" w:rsidP="00C04DBA">
            <w:pPr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5 дней со дня оформления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5.4.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мощности </w:t>
            </w:r>
            <w:proofErr w:type="spellStart"/>
            <w:r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устройств выше 670 кВт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Получение заявителем разрешения органа федерального государственного энергетического надзора на допуск в эксплуатацию объектов.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</w:rPr>
              <w:t>Письменное разрешение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5.5.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</w:tc>
        <w:tc>
          <w:tcPr>
            <w:tcW w:w="3453" w:type="dxa"/>
          </w:tcPr>
          <w:p w:rsidR="00C04DBA" w:rsidRDefault="00C04DBA" w:rsidP="00C04DBA">
            <w:pPr>
              <w:autoSpaceDE w:val="0"/>
              <w:autoSpaceDN w:val="0"/>
              <w:adjustRightInd w:val="0"/>
            </w:pPr>
            <w:r w:rsidRPr="00C04DBA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день проведения осмотра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5.6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Параметры оборудования (устройств) соответствуют требованиям технических условий</w:t>
            </w:r>
          </w:p>
        </w:tc>
        <w:tc>
          <w:tcPr>
            <w:tcW w:w="236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Прием в эксплуатацию прибора учета. Оформление и подписание сторонами Акта допуска в эксплуатацию прибора учета</w:t>
            </w:r>
          </w:p>
        </w:tc>
        <w:tc>
          <w:tcPr>
            <w:tcW w:w="3453" w:type="dxa"/>
          </w:tcPr>
          <w:p w:rsidR="00C04DBA" w:rsidRPr="00050B15" w:rsidRDefault="001375BB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hyperlink r:id="rId6" w:history="1">
              <w:r w:rsidR="00C04DBA" w:rsidRPr="00050B15">
                <w:rPr>
                  <w:rFonts w:ascii="Times New Roman" w:hAnsi="Times New Roman" w:cs="Times New Roman"/>
                </w:rPr>
                <w:t>Акт</w:t>
              </w:r>
            </w:hyperlink>
            <w:r w:rsidR="00C04DBA" w:rsidRPr="00050B15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5.7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Подготовка и выдача заявителю Акта о выполнении технических условий в 2 экземплярах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 выполнении технических условий. Направляется заявителю почтой РФ, в электронной форме (посредством Личного кабинета), лично под роспись.</w:t>
            </w: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4DBA" w:rsidRPr="00050B15" w:rsidTr="00C04DBA">
        <w:trPr>
          <w:cantSplit/>
        </w:trPr>
        <w:tc>
          <w:tcPr>
            <w:tcW w:w="575" w:type="dxa"/>
            <w:vAlign w:val="center"/>
          </w:tcPr>
          <w:p w:rsidR="00C04DBA" w:rsidRPr="00050B15" w:rsidRDefault="00C04DBA" w:rsidP="00C04DB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5.8</w:t>
            </w: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2500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6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Заявитель возвращает в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>» один экземпляр подписанного со своей стороны акта о выполнении технических условий</w:t>
            </w:r>
          </w:p>
        </w:tc>
        <w:tc>
          <w:tcPr>
            <w:tcW w:w="3453" w:type="dxa"/>
          </w:tcPr>
          <w:p w:rsidR="00C04DBA" w:rsidRPr="00050B15" w:rsidRDefault="00C04DBA" w:rsidP="00C04D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заявителем Акт о выполнении технических условий в письменной форме в 1 экз.</w:t>
            </w: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  <w:p w:rsidR="00C04DBA" w:rsidRPr="00050B15" w:rsidRDefault="00C04DBA" w:rsidP="00C04D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6" w:type="dxa"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5 календарных дней со дня получения заявителем для подписания акта о выполнении технических условий</w:t>
            </w:r>
          </w:p>
        </w:tc>
        <w:tc>
          <w:tcPr>
            <w:tcW w:w="1955" w:type="dxa"/>
            <w:vMerge/>
          </w:tcPr>
          <w:p w:rsidR="00C04DBA" w:rsidRPr="00050B15" w:rsidRDefault="00C04DBA" w:rsidP="00C04DBA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0594" w:rsidRDefault="00950594"/>
    <w:p w:rsidR="00950594" w:rsidRDefault="00950594"/>
    <w:p w:rsidR="00C04DBA" w:rsidRDefault="00C04DBA"/>
    <w:p w:rsidR="00C04DBA" w:rsidRDefault="00C04DBA"/>
    <w:p w:rsidR="00C04DBA" w:rsidRDefault="00C04DBA"/>
    <w:p w:rsidR="00C04DBA" w:rsidRDefault="00C04DBA"/>
    <w:p w:rsidR="00C04DBA" w:rsidRDefault="00C04DBA"/>
    <w:p w:rsidR="00950594" w:rsidRDefault="00950594"/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76"/>
        <w:gridCol w:w="2517"/>
        <w:gridCol w:w="2120"/>
        <w:gridCol w:w="2383"/>
        <w:gridCol w:w="3486"/>
        <w:gridCol w:w="1973"/>
        <w:gridCol w:w="1966"/>
      </w:tblGrid>
      <w:tr w:rsidR="00950594" w:rsidRPr="00050B15" w:rsidTr="00950594">
        <w:trPr>
          <w:cantSplit/>
        </w:trPr>
        <w:tc>
          <w:tcPr>
            <w:tcW w:w="576" w:type="dxa"/>
            <w:vAlign w:val="center"/>
          </w:tcPr>
          <w:p w:rsidR="00950594" w:rsidRPr="00050B15" w:rsidRDefault="00950594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2517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hAnsi="Times New Roman" w:cs="Times New Roman"/>
                <w:b/>
              </w:rPr>
              <w:t>Присоединение объектов заявителя к электрическим сетям</w:t>
            </w:r>
          </w:p>
        </w:tc>
        <w:tc>
          <w:tcPr>
            <w:tcW w:w="2120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38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8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73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66" w:type="dxa"/>
          </w:tcPr>
          <w:p w:rsidR="00950594" w:rsidRPr="00050B15" w:rsidRDefault="00950594" w:rsidP="00B05C71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B0F6E" w:rsidRPr="00050B15" w:rsidTr="00CB0F6E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6.1.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Подписанные сторонами акт о выполнении технических условий, акт о допуске приборов учета в эксплуатацию.</w:t>
            </w: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1966" w:type="dxa"/>
            <w:vMerge w:val="restart"/>
            <w:vAlign w:val="center"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Постановление Правительства РФ № 861 от 27.12.2004 г.</w:t>
            </w: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6.3.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Подписанный со стороны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Акт об осуществлении ТП  в письменной форме направляется </w:t>
            </w: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050B15">
              <w:rPr>
                <w:rFonts w:ascii="Times New Roman" w:hAnsi="Times New Roman" w:cs="Times New Roman"/>
              </w:rPr>
              <w:t>, позволяющим подтвердить факт получения, или выдается заявителю в офисе обслуживания под роспись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3 рабочих дней после проведения фактического присоединения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B0F6E" w:rsidRPr="00050B15" w:rsidTr="00B37A54">
        <w:trPr>
          <w:cantSplit/>
        </w:trPr>
        <w:tc>
          <w:tcPr>
            <w:tcW w:w="576" w:type="dxa"/>
            <w:vAlign w:val="center"/>
          </w:tcPr>
          <w:p w:rsidR="00CB0F6E" w:rsidRPr="00050B15" w:rsidRDefault="00CB0F6E" w:rsidP="009F1E3A">
            <w:pPr>
              <w:suppressAutoHyphens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b/>
                <w:lang w:eastAsia="ru-RU"/>
              </w:rPr>
              <w:t>6.4.</w:t>
            </w:r>
          </w:p>
        </w:tc>
        <w:tc>
          <w:tcPr>
            <w:tcW w:w="2517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0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0B15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Акт об осуществлении технологического присоединения</w:t>
            </w:r>
          </w:p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Направление ООО «</w:t>
            </w:r>
            <w:r w:rsidR="001375BB">
              <w:rPr>
                <w:rFonts w:ascii="Times New Roman" w:hAnsi="Times New Roman" w:cs="Times New Roman"/>
                <w:sz w:val="24"/>
                <w:szCs w:val="24"/>
              </w:rPr>
              <w:t>ТЭС</w:t>
            </w:r>
            <w:r w:rsidRPr="00050B15">
              <w:rPr>
                <w:rFonts w:ascii="Times New Roman" w:hAnsi="Times New Roman" w:cs="Times New Roman"/>
              </w:rPr>
              <w:t xml:space="preserve">» копии подписанного акта  в </w:t>
            </w:r>
            <w:proofErr w:type="spellStart"/>
            <w:r w:rsidRPr="00050B15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050B15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3486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tcW w:w="1973" w:type="dxa"/>
          </w:tcPr>
          <w:p w:rsidR="00CB0F6E" w:rsidRPr="00050B15" w:rsidRDefault="00CB0F6E" w:rsidP="00075EB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050B15">
              <w:rPr>
                <w:rFonts w:ascii="Times New Roman" w:hAnsi="Times New Roman" w:cs="Times New Roman"/>
              </w:rPr>
              <w:t>В течение 2 рабочих дней после предоставления подписанного  заявителем акта в сетевую организацию.</w:t>
            </w:r>
          </w:p>
        </w:tc>
        <w:tc>
          <w:tcPr>
            <w:tcW w:w="1966" w:type="dxa"/>
            <w:vMerge/>
          </w:tcPr>
          <w:p w:rsidR="00CB0F6E" w:rsidRPr="00050B15" w:rsidRDefault="00CB0F6E" w:rsidP="004A51AE">
            <w:pPr>
              <w:suppressAutoHyphens/>
              <w:spacing w:line="240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37A54" w:rsidRPr="00050B15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37A54" w:rsidRDefault="00B37A54" w:rsidP="004B6521">
      <w:pPr>
        <w:suppressAutoHyphens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375BB" w:rsidRPr="00B37A54" w:rsidRDefault="001375BB" w:rsidP="001375BB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Контактный телефон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r w:rsidRPr="00B37A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(800) 234-77-06</w:t>
      </w:r>
    </w:p>
    <w:p w:rsidR="00936D6D" w:rsidRPr="00B37A54" w:rsidRDefault="00936D6D" w:rsidP="001375BB">
      <w:pPr>
        <w:suppressAutoHyphens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sectPr w:rsidR="00936D6D" w:rsidRPr="00B37A54" w:rsidSect="00B37A54">
      <w:pgSz w:w="16838" w:h="11906" w:orient="landscape"/>
      <w:pgMar w:top="127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165B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4FF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A2C0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C4D91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BD3FAF"/>
    <w:multiLevelType w:val="hybridMultilevel"/>
    <w:tmpl w:val="42145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1235E"/>
    <w:multiLevelType w:val="hybridMultilevel"/>
    <w:tmpl w:val="5C0A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DA5"/>
    <w:rsid w:val="00000ED6"/>
    <w:rsid w:val="00050B15"/>
    <w:rsid w:val="00075EBE"/>
    <w:rsid w:val="001375BB"/>
    <w:rsid w:val="00157093"/>
    <w:rsid w:val="002A3B4F"/>
    <w:rsid w:val="003216EF"/>
    <w:rsid w:val="003B402D"/>
    <w:rsid w:val="003F33F0"/>
    <w:rsid w:val="003F7185"/>
    <w:rsid w:val="00404780"/>
    <w:rsid w:val="00430E3C"/>
    <w:rsid w:val="004A51AE"/>
    <w:rsid w:val="004B6521"/>
    <w:rsid w:val="00514B8E"/>
    <w:rsid w:val="00522F6B"/>
    <w:rsid w:val="00544A21"/>
    <w:rsid w:val="00656B84"/>
    <w:rsid w:val="00680DA5"/>
    <w:rsid w:val="006942E3"/>
    <w:rsid w:val="006F665E"/>
    <w:rsid w:val="00756B11"/>
    <w:rsid w:val="0076113F"/>
    <w:rsid w:val="00781978"/>
    <w:rsid w:val="007A57AF"/>
    <w:rsid w:val="0082785C"/>
    <w:rsid w:val="00936D6D"/>
    <w:rsid w:val="009467D9"/>
    <w:rsid w:val="00950594"/>
    <w:rsid w:val="00957193"/>
    <w:rsid w:val="009F1E3A"/>
    <w:rsid w:val="00A027DB"/>
    <w:rsid w:val="00A10396"/>
    <w:rsid w:val="00B05C71"/>
    <w:rsid w:val="00B37A54"/>
    <w:rsid w:val="00B770DF"/>
    <w:rsid w:val="00BA02D3"/>
    <w:rsid w:val="00BC72CF"/>
    <w:rsid w:val="00BD27F0"/>
    <w:rsid w:val="00C04DBA"/>
    <w:rsid w:val="00C13579"/>
    <w:rsid w:val="00C62B2C"/>
    <w:rsid w:val="00CB0F6E"/>
    <w:rsid w:val="00CC0C94"/>
    <w:rsid w:val="00CE3D07"/>
    <w:rsid w:val="00D60B7E"/>
    <w:rsid w:val="00D863A2"/>
    <w:rsid w:val="00DC4057"/>
    <w:rsid w:val="00DE049B"/>
    <w:rsid w:val="00F10DEF"/>
    <w:rsid w:val="00F31CA9"/>
    <w:rsid w:val="00F8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11430"/>
  <w15:docId w15:val="{32504D57-D510-45BD-A8EE-C9C623BB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0C9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B0F6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B0F6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B0F6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B0F6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B0F6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B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B0F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819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C0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9E11B-DF4A-4DB4-A990-A02CE7FE6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1984</Words>
  <Characters>11314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Ломакин С.В.</dc:creator>
  <cp:lastModifiedBy>Aleks Lord</cp:lastModifiedBy>
  <cp:revision>2</cp:revision>
  <dcterms:created xsi:type="dcterms:W3CDTF">2021-03-01T13:59:00Z</dcterms:created>
  <dcterms:modified xsi:type="dcterms:W3CDTF">2021-03-01T13:59:00Z</dcterms:modified>
</cp:coreProperties>
</file>